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E4" w:rsidRPr="00E737E4" w:rsidRDefault="00E737E4" w:rsidP="00E737E4">
      <w:pPr>
        <w:widowControl/>
        <w:wordWrap w:val="0"/>
        <w:jc w:val="center"/>
        <w:rPr>
          <w:rFonts w:ascii="黑体" w:eastAsia="黑体" w:hAnsi="黑体" w:cs="Tahoma"/>
          <w:b/>
          <w:color w:val="000000"/>
          <w:kern w:val="0"/>
          <w:sz w:val="28"/>
          <w:szCs w:val="28"/>
        </w:rPr>
      </w:pPr>
      <w:r w:rsidRPr="00E737E4">
        <w:rPr>
          <w:rFonts w:ascii="黑体" w:eastAsia="黑体" w:hAnsi="黑体" w:cs="Tahoma"/>
          <w:b/>
          <w:color w:val="000000"/>
          <w:kern w:val="0"/>
          <w:sz w:val="28"/>
          <w:szCs w:val="28"/>
        </w:rPr>
        <w:t xml:space="preserve">　</w:t>
      </w:r>
      <w:r w:rsidRPr="00E737E4">
        <w:rPr>
          <w:rFonts w:ascii="黑体" w:eastAsia="黑体" w:hAnsi="黑体" w:cs="Tahoma" w:hint="eastAsia"/>
          <w:b/>
          <w:color w:val="000000"/>
          <w:kern w:val="0"/>
          <w:sz w:val="28"/>
          <w:szCs w:val="28"/>
        </w:rPr>
        <w:t>中山大学中文系</w:t>
      </w:r>
      <w:r w:rsidRPr="00E737E4">
        <w:rPr>
          <w:rFonts w:ascii="黑体" w:eastAsia="黑体" w:hAnsi="黑体" w:cs="Tahoma" w:hint="eastAsia"/>
          <w:b/>
          <w:bCs/>
          <w:color w:val="000000"/>
          <w:kern w:val="0"/>
          <w:sz w:val="28"/>
          <w:szCs w:val="28"/>
        </w:rPr>
        <w:t>（珠海）论文</w:t>
      </w:r>
      <w:r w:rsidRPr="00E737E4">
        <w:rPr>
          <w:rFonts w:ascii="黑体" w:eastAsia="黑体" w:hAnsi="黑体" w:cs="Tahoma"/>
          <w:b/>
          <w:bCs/>
          <w:color w:val="000000"/>
          <w:kern w:val="0"/>
          <w:sz w:val="28"/>
          <w:szCs w:val="28"/>
        </w:rPr>
        <w:t>注释规范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E737E4" w:rsidRPr="00D63D05" w:rsidRDefault="00E737E4" w:rsidP="00E737E4">
      <w:pPr>
        <w:widowControl/>
        <w:wordWrap w:val="0"/>
        <w:jc w:val="left"/>
        <w:rPr>
          <w:rFonts w:ascii="楷体" w:eastAsia="楷体" w:hAnsi="楷体" w:cs="Tahoma"/>
          <w:color w:val="000000"/>
          <w:kern w:val="0"/>
          <w:sz w:val="24"/>
          <w:szCs w:val="24"/>
        </w:rPr>
      </w:pPr>
      <w:r w:rsidRPr="00D63D05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一般采用脚注（页下注），也可以使用尾注。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</w:p>
    <w:p w:rsidR="00E737E4" w:rsidRPr="00D63D05" w:rsidRDefault="00E737E4" w:rsidP="00D63D05">
      <w:pPr>
        <w:pStyle w:val="a4"/>
        <w:widowControl/>
        <w:numPr>
          <w:ilvl w:val="0"/>
          <w:numId w:val="3"/>
        </w:numPr>
        <w:wordWrap w:val="0"/>
        <w:ind w:firstLineChars="0"/>
        <w:jc w:val="left"/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中文注释规范</w:t>
      </w:r>
    </w:p>
    <w:p w:rsidR="00D63D05" w:rsidRPr="00D63D05" w:rsidRDefault="00D63D05" w:rsidP="00D63D05">
      <w:pPr>
        <w:pStyle w:val="a4"/>
        <w:widowControl/>
        <w:wordWrap w:val="0"/>
        <w:ind w:left="1200" w:firstLineChars="0" w:firstLine="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（一）著作类</w:t>
      </w:r>
    </w:p>
    <w:p w:rsidR="00E737E4" w:rsidRPr="00E737E4" w:rsidRDefault="00E737E4" w:rsidP="00D63D05">
      <w:pPr>
        <w:widowControl/>
        <w:wordWrap w:val="0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王利明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著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《民法新论》上册，中国政法大学出版社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1987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34-36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E737E4" w:rsidRPr="00E737E4" w:rsidRDefault="00E737E4" w:rsidP="00D63D05">
      <w:pPr>
        <w:widowControl/>
        <w:wordWrap w:val="0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朱润东主编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《中国历代文学作品选》上编第一册，上海古籍出版社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1979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21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E737E4" w:rsidRPr="00E737E4" w:rsidRDefault="00E737E4" w:rsidP="00D63D05">
      <w:pPr>
        <w:widowControl/>
        <w:wordWrap w:val="0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3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沈从文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&lt;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边城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&gt;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题记》，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《沈从文全集》第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卷，商务印书馆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2001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371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（二）文集类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朱慈蕴《对一人公司立法与规制的思考》，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《商事法论集》第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卷，法律出版社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2000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39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（三）港澳台著作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林山田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著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《刑罚学》，台湾商务印书馆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1983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159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（四）译作类</w:t>
      </w:r>
    </w:p>
    <w:p w:rsidR="00E737E4" w:rsidRDefault="00E737E4" w:rsidP="00D63D05">
      <w:pPr>
        <w:widowControl/>
        <w:wordWrap w:val="0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【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意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】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加罗法洛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著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，耿伟等译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《犯罪学》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中国大百科全书出版社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1996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年版，第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139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页。</w:t>
      </w:r>
    </w:p>
    <w:p w:rsidR="00D63D05" w:rsidRPr="00E737E4" w:rsidRDefault="00D63D05" w:rsidP="00D63D05">
      <w:pPr>
        <w:widowControl/>
        <w:wordWrap w:val="0"/>
        <w:ind w:firstLine="48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</w:t>
      </w:r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五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）论文类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高铭暄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《论毒品犯罪的罪名与刑法适用》，《中国法学》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1992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期。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六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）报纸类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李文燕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《关于协助组织他人卖淫罪名的质疑》，《法制日报》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1993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日第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版。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七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）文件类</w:t>
      </w:r>
    </w:p>
    <w:p w:rsidR="00E737E4" w:rsidRPr="00D63D05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 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财政部《关于国债代保管凭证（单）应严格执行国债兑付政策的通知》，财国债字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[1995]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25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号，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1995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月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17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日。</w:t>
      </w:r>
    </w:p>
    <w:p w:rsidR="00D63D05" w:rsidRPr="00E737E4" w:rsidRDefault="00D63D05" w:rsidP="00E737E4">
      <w:pPr>
        <w:widowControl/>
        <w:wordWrap w:val="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</w:p>
    <w:p w:rsidR="00E737E4" w:rsidRPr="00D63D05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 xml:space="preserve">     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（八）网络资料</w:t>
      </w:r>
    </w:p>
    <w:p w:rsidR="00E737E4" w:rsidRPr="00D63D05" w:rsidRDefault="00E737E4" w:rsidP="00E737E4">
      <w:pPr>
        <w:widowControl/>
        <w:wordWrap w:val="0"/>
        <w:ind w:firstLine="42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王德威《何为中国？何为华语语系文学？》，</w:t>
      </w:r>
      <w:hyperlink r:id="rId5" w:history="1">
        <w:r w:rsidRPr="00D63D05">
          <w:rPr>
            <w:rStyle w:val="a3"/>
            <w:rFonts w:ascii="Tahoma" w:eastAsia="宋体" w:hAnsi="Tahoma" w:cs="Tahoma"/>
            <w:kern w:val="0"/>
            <w:sz w:val="24"/>
            <w:szCs w:val="24"/>
          </w:rPr>
          <w:t>http://cul.qq.com/a/20170608/045706.htm</w:t>
        </w:r>
      </w:hyperlink>
      <w:r w:rsidR="00D63D05"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，查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阅时间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2018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年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5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月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24</w:t>
      </w:r>
      <w:r w:rsidRP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日</w:t>
      </w:r>
      <w:r w:rsid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E737E4" w:rsidRPr="00E737E4" w:rsidRDefault="00E737E4" w:rsidP="00E737E4">
      <w:pPr>
        <w:widowControl/>
        <w:wordWrap w:val="0"/>
        <w:ind w:firstLine="42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E737E4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二、英文注释规范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（一）著作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 xml:space="preserve">James Barrett, </w:t>
      </w:r>
      <w:r w:rsidRPr="00E737E4">
        <w:rPr>
          <w:rFonts w:ascii="Tahoma" w:eastAsia="宋体" w:hAnsi="Tahoma" w:cs="Tahoma"/>
          <w:i/>
          <w:color w:val="000000"/>
          <w:kern w:val="0"/>
          <w:sz w:val="24"/>
          <w:szCs w:val="24"/>
        </w:rPr>
        <w:t>The Great Southern Railway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,</w:t>
      </w:r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proofErr w:type="spellStart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London:Oxford</w:t>
      </w:r>
      <w:proofErr w:type="spellEnd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University Press, 1982, p.3.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（如果是连续页码，则用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pp.3-6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）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（二）论文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　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Jennifer Ryan, “Management Marketing: a case study of Grafton Printers plc”, in </w:t>
      </w:r>
      <w:r w:rsidRPr="00E737E4">
        <w:rPr>
          <w:rFonts w:ascii="Tahoma" w:eastAsia="宋体" w:hAnsi="Tahoma" w:cs="Tahoma"/>
          <w:i/>
          <w:color w:val="000000"/>
          <w:kern w:val="0"/>
          <w:sz w:val="24"/>
          <w:szCs w:val="24"/>
        </w:rPr>
        <w:t>The Irish Marketing Journal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, Vol. 3 (December 1998), p.12.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（三）论文集</w:t>
      </w:r>
    </w:p>
    <w:p w:rsidR="00E737E4" w:rsidRPr="00D63D05" w:rsidRDefault="00E737E4" w:rsidP="00D63D05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Howard </w:t>
      </w:r>
      <w:proofErr w:type="spellStart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Lemontree</w:t>
      </w:r>
      <w:proofErr w:type="spellEnd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, “Discourse  Markers”</w:t>
      </w:r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="00D63D05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in Joseph Keyes (</w:t>
      </w:r>
      <w:proofErr w:type="spellStart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ed</w:t>
      </w:r>
      <w:proofErr w:type="spellEnd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), </w:t>
      </w:r>
      <w:r w:rsidR="00D63D05" w:rsidRPr="00D63D05">
        <w:rPr>
          <w:rFonts w:ascii="Tahoma" w:eastAsia="宋体" w:hAnsi="Tahoma" w:cs="Tahoma" w:hint="eastAsia"/>
          <w:i/>
          <w:color w:val="000000"/>
          <w:kern w:val="0"/>
          <w:sz w:val="24"/>
          <w:szCs w:val="24"/>
        </w:rPr>
        <w:t>Dis</w:t>
      </w:r>
      <w:r w:rsidRPr="00E737E4">
        <w:rPr>
          <w:rFonts w:ascii="Tahoma" w:eastAsia="宋体" w:hAnsi="Tahoma" w:cs="Tahoma"/>
          <w:i/>
          <w:color w:val="000000"/>
          <w:kern w:val="0"/>
          <w:sz w:val="24"/>
          <w:szCs w:val="24"/>
        </w:rPr>
        <w:t>course across Varieties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, London:</w:t>
      </w:r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Oxford University Press, 1980, p.45.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b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</w:t>
      </w:r>
      <w:r w:rsidRPr="00E737E4">
        <w:rPr>
          <w:rFonts w:ascii="Tahoma" w:eastAsia="宋体" w:hAnsi="Tahoma" w:cs="Tahoma"/>
          <w:b/>
          <w:color w:val="000000"/>
          <w:kern w:val="0"/>
          <w:sz w:val="24"/>
          <w:szCs w:val="24"/>
        </w:rPr>
        <w:t xml:space="preserve">　三、其他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（一）非直接引用原文时，注释前应加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“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参见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”</w:t>
      </w:r>
      <w:r w:rsidR="00D63D05"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E737E4">
        <w:rPr>
          <w:rFonts w:ascii="Microsoft YaHei UI" w:eastAsia="Microsoft YaHei UI" w:hAnsi="Microsoft YaHei UI" w:cs="Microsoft YaHei UI" w:hint="eastAsia"/>
          <w:color w:val="000000"/>
          <w:kern w:val="0"/>
          <w:sz w:val="24"/>
          <w:szCs w:val="24"/>
        </w:rPr>
        <w:t>①</w:t>
      </w:r>
      <w:proofErr w:type="gramStart"/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>参见蒙万夫</w:t>
      </w:r>
      <w:proofErr w:type="gramEnd"/>
      <w:r w:rsidR="00D63D05">
        <w:rPr>
          <w:rFonts w:ascii="Tahoma" w:eastAsia="宋体" w:hAnsi="Tahoma" w:cs="Tahoma"/>
          <w:color w:val="000000"/>
          <w:kern w:val="0"/>
          <w:sz w:val="24"/>
          <w:szCs w:val="24"/>
        </w:rPr>
        <w:t>等《柳青生平述略》，</w:t>
      </w:r>
      <w:proofErr w:type="gramStart"/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蒙万夫</w:t>
      </w:r>
      <w:proofErr w:type="gramEnd"/>
      <w:r w:rsidRPr="00D63D05">
        <w:rPr>
          <w:rFonts w:ascii="Tahoma" w:eastAsia="宋体" w:hAnsi="Tahoma" w:cs="Tahoma"/>
          <w:color w:val="000000"/>
          <w:kern w:val="0"/>
          <w:sz w:val="24"/>
          <w:szCs w:val="24"/>
        </w:rPr>
        <w:t>主编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《柳青写作生涯》，百花文艺出版社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1985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年版。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</w:t>
      </w:r>
      <w:r w:rsidRPr="00E737E4">
        <w:rPr>
          <w:rFonts w:ascii="Microsoft YaHei UI" w:eastAsia="Microsoft YaHei UI" w:hAnsi="Microsoft YaHei UI" w:cs="Microsoft YaHei UI" w:hint="eastAsia"/>
          <w:color w:val="000000"/>
          <w:kern w:val="0"/>
          <w:sz w:val="24"/>
          <w:szCs w:val="24"/>
        </w:rPr>
        <w:t>②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参见拙文《精神的伊甸园和失败者温婉的歌》，《文学评论》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1993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期。</w:t>
      </w: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E737E4" w:rsidRP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　　（二）引用资料非来自原始出处时，应注明</w:t>
      </w:r>
      <w:r w:rsidR="00B84EE2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“</w:t>
      </w:r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转引自</w:t>
      </w:r>
      <w:r w:rsidR="00B84EE2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”</w:t>
      </w:r>
      <w:bookmarkStart w:id="0" w:name="_GoBack"/>
      <w:bookmarkEnd w:id="0"/>
      <w:r w:rsidRPr="00E737E4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E737E4" w:rsidRDefault="00E737E4" w:rsidP="00E737E4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B84EE2" w:rsidRPr="00E737E4" w:rsidRDefault="00B84EE2" w:rsidP="00B84EE2">
      <w:pPr>
        <w:widowControl/>
        <w:wordWrap w:val="0"/>
        <w:jc w:val="right"/>
        <w:rPr>
          <w:rFonts w:ascii="楷体" w:eastAsia="楷体" w:hAnsi="楷体" w:cs="Tahoma" w:hint="eastAsia"/>
          <w:color w:val="000000"/>
          <w:kern w:val="0"/>
          <w:sz w:val="24"/>
          <w:szCs w:val="24"/>
        </w:rPr>
      </w:pPr>
      <w:r w:rsidRPr="00B84EE2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【以上规范采集自网络，有修订】</w:t>
      </w:r>
    </w:p>
    <w:sectPr w:rsidR="00B84EE2" w:rsidRPr="00E7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7C7E"/>
    <w:multiLevelType w:val="multilevel"/>
    <w:tmpl w:val="87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75533"/>
    <w:multiLevelType w:val="hybridMultilevel"/>
    <w:tmpl w:val="3ED24EBA"/>
    <w:lvl w:ilvl="0" w:tplc="2F10DD8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736189"/>
    <w:multiLevelType w:val="hybridMultilevel"/>
    <w:tmpl w:val="F1EEBEC8"/>
    <w:lvl w:ilvl="0" w:tplc="CB90DC66">
      <w:start w:val="2"/>
      <w:numFmt w:val="decimalEnclosedCircle"/>
      <w:lvlText w:val="%1"/>
      <w:lvlJc w:val="left"/>
      <w:pPr>
        <w:ind w:left="780" w:hanging="360"/>
      </w:pPr>
      <w:rPr>
        <w:rFonts w:ascii="Microsoft YaHei UI" w:eastAsia="Microsoft YaHei UI" w:hAnsi="Microsoft YaHei UI" w:cs="Microsoft YaHei U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E4"/>
    <w:rsid w:val="00531A09"/>
    <w:rsid w:val="00B84EE2"/>
    <w:rsid w:val="00D63D05"/>
    <w:rsid w:val="00E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79EF"/>
  <w15:chartTrackingRefBased/>
  <w15:docId w15:val="{E3A87573-4A29-480C-B7D9-7A38133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7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7E4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E73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1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ul.qq.com/a/20170608/04570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1063</Characters>
  <Application>Microsoft Office Word</Application>
  <DocSecurity>0</DocSecurity>
  <Lines>8</Lines>
  <Paragraphs>2</Paragraphs>
  <ScaleCrop>false</ScaleCrop>
  <Company>ITSK.com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2018-05-24T00:29:00Z</dcterms:created>
  <dcterms:modified xsi:type="dcterms:W3CDTF">2018-05-24T00:56:00Z</dcterms:modified>
</cp:coreProperties>
</file>